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Política de uso de inteligencia artificial</w:t>
      </w:r>
    </w:p>
    <w:p>
      <w:r>
        <w:rPr>
          <w:color w:val="6B665C"/>
        </w:rPr>
        <w:t>[Nombre de la empresa] · Versión 1.0</w:t>
      </w:r>
    </w:p>
    <w:p>
      <w:pPr>
        <w:pStyle w:val="Heading1"/>
      </w:pPr>
      <w:r>
        <w:rPr>
          <w:color w:val="FF5A1F"/>
        </w:rPr>
        <w:t>01. Propósito</w:t>
      </w:r>
    </w:p>
    <w:p>
      <w:r>
        <w:t>[Nombre de la empresa] promueve el uso de herramientas de inteligencia artificial (IA) para trabajar mejor y más rápido. Esta política define reglas simples para hacerlo de forma segura, protegiendo la información de nuestros clientes, de nuestro equipo y de la empresa.</w:t>
      </w:r>
    </w:p>
    <w:p>
      <w:pPr>
        <w:pStyle w:val="Heading1"/>
      </w:pPr>
      <w:r>
        <w:rPr>
          <w:color w:val="FF5A1F"/>
        </w:rPr>
        <w:t>02. A quién aplica</w:t>
      </w:r>
    </w:p>
    <w:p>
      <w:r>
        <w:t>Aplica a todas las personas que trabajan para [Nombre de la empresa], incluidos contratistas y practicantes, cuando usan herramientas de IA para tareas de trabajo, sea en equipos de la empresa o personales.</w:t>
      </w:r>
    </w:p>
    <w:p>
      <w:pPr>
        <w:pStyle w:val="Heading1"/>
      </w:pPr>
      <w:r>
        <w:rPr>
          <w:color w:val="FF5A1F"/>
        </w:rPr>
        <w:t>03. Herramientas autorizadas</w:t>
      </w:r>
    </w:p>
    <w:p>
      <w:r>
        <w:t>Solo se pueden usar con información de la empresa las herramientas de esta lista, con la cuenta corporativa cuando exista. Para cualquier otra herramienta, aplica la sección 8.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211"/>
        <w:gridCol w:w="3211"/>
        <w:gridCol w:w="3211"/>
      </w:tblGrid>
      <w:tr>
        <w:tc>
          <w:tcPr>
            <w:tcW w:type="dxa" w:w="3211"/>
          </w:tcPr>
          <w:p>
            <w:r>
              <w:rPr>
                <w:b/>
              </w:rPr>
              <w:t>Herramienta</w:t>
            </w:r>
          </w:p>
        </w:tc>
        <w:tc>
          <w:tcPr>
            <w:tcW w:type="dxa" w:w="3211"/>
          </w:tcPr>
          <w:p>
            <w:r>
              <w:rPr>
                <w:b/>
              </w:rPr>
              <w:t>Para qué se puede usar</w:t>
            </w:r>
          </w:p>
        </w:tc>
        <w:tc>
          <w:tcPr>
            <w:tcW w:type="dxa" w:w="3211"/>
          </w:tcPr>
          <w:p>
            <w:r>
              <w:rPr>
                <w:b/>
              </w:rPr>
              <w:t>Tipo de cuenta</w:t>
            </w:r>
          </w:p>
        </w:tc>
      </w:tr>
      <w:tr>
        <w:tc>
          <w:tcPr>
            <w:tcW w:type="dxa" w:w="3211"/>
          </w:tcPr>
          <w:p/>
        </w:tc>
        <w:tc>
          <w:tcPr>
            <w:tcW w:type="dxa" w:w="3211"/>
          </w:tcPr>
          <w:p/>
        </w:tc>
        <w:tc>
          <w:tcPr>
            <w:tcW w:type="dxa" w:w="3211"/>
          </w:tcPr>
          <w:p/>
        </w:tc>
      </w:tr>
      <w:tr>
        <w:tc>
          <w:tcPr>
            <w:tcW w:type="dxa" w:w="3211"/>
          </w:tcPr>
          <w:p/>
        </w:tc>
        <w:tc>
          <w:tcPr>
            <w:tcW w:type="dxa" w:w="3211"/>
          </w:tcPr>
          <w:p/>
        </w:tc>
        <w:tc>
          <w:tcPr>
            <w:tcW w:type="dxa" w:w="3211"/>
          </w:tcPr>
          <w:p/>
        </w:tc>
      </w:tr>
      <w:tr>
        <w:tc>
          <w:tcPr>
            <w:tcW w:type="dxa" w:w="3211"/>
          </w:tcPr>
          <w:p/>
        </w:tc>
        <w:tc>
          <w:tcPr>
            <w:tcW w:type="dxa" w:w="3211"/>
          </w:tcPr>
          <w:p/>
        </w:tc>
        <w:tc>
          <w:tcPr>
            <w:tcW w:type="dxa" w:w="3211"/>
          </w:tcPr>
          <w:p/>
        </w:tc>
      </w:tr>
    </w:tbl>
    <w:p>
      <w:pPr>
        <w:pStyle w:val="Heading1"/>
      </w:pPr>
      <w:r>
        <w:rPr>
          <w:color w:val="FF5A1F"/>
        </w:rPr>
        <w:t>04. Qué información se puede usar</w:t>
      </w:r>
    </w:p>
    <w:p>
      <w:r>
        <w:t>Antes de pegar o subir información a una herramienta de IA, use este semáforo.</w:t>
      </w:r>
    </w:p>
    <w:p>
      <w:r>
        <w:rPr>
          <w:b/>
        </w:rPr>
        <w:t>Verde: puede usarla</w:t>
      </w:r>
    </w:p>
    <w:p>
      <w:pPr>
        <w:pStyle w:val="ListBullet"/>
      </w:pPr>
      <w:r>
        <w:t>Información pública de la empresa</w:t>
      </w:r>
    </w:p>
    <w:p>
      <w:pPr>
        <w:pStyle w:val="ListBullet"/>
      </w:pPr>
      <w:r>
        <w:t>Textos genéricos, ideas y borradores sin datos sensibles</w:t>
      </w:r>
    </w:p>
    <w:p>
      <w:pPr>
        <w:pStyle w:val="ListBullet"/>
      </w:pPr>
      <w:r>
        <w:t>Material de capacitación general</w:t>
      </w:r>
    </w:p>
    <w:p>
      <w:r>
        <w:rPr>
          <w:b/>
        </w:rPr>
        <w:t>Amarillo: con cuidado</w:t>
      </w:r>
    </w:p>
    <w:p>
      <w:pPr>
        <w:pStyle w:val="ListBullet"/>
      </w:pPr>
      <w:r>
        <w:t>Información interna, solo en herramientas autorizadas</w:t>
      </w:r>
    </w:p>
    <w:p>
      <w:pPr>
        <w:pStyle w:val="ListBullet"/>
      </w:pPr>
      <w:r>
        <w:t>Datos de clientes sin nombres ni identificadores</w:t>
      </w:r>
    </w:p>
    <w:p>
      <w:pPr>
        <w:pStyle w:val="ListBullet"/>
      </w:pPr>
      <w:r>
        <w:t>Documentos de trabajo no confidenciales</w:t>
      </w:r>
    </w:p>
    <w:p>
      <w:r>
        <w:rPr>
          <w:b/>
        </w:rPr>
        <w:t>Rojo: nunca</w:t>
      </w:r>
    </w:p>
    <w:p>
      <w:pPr>
        <w:pStyle w:val="ListBullet"/>
      </w:pPr>
      <w:r>
        <w:t>Datos personales de clientes o trabajadores (nombres con documento de identidad, teléfonos, direcciones, salud, sueldos)</w:t>
      </w:r>
    </w:p>
    <w:p>
      <w:pPr>
        <w:pStyle w:val="ListBullet"/>
      </w:pPr>
      <w:r>
        <w:t>Contraseñas, claves y accesos</w:t>
      </w:r>
    </w:p>
    <w:p>
      <w:pPr>
        <w:pStyle w:val="ListBullet"/>
      </w:pPr>
      <w:r>
        <w:t>Información financiera no publicada, contratos y secretos comerciales</w:t>
      </w:r>
    </w:p>
    <w:p>
      <w:pPr>
        <w:pStyle w:val="Heading1"/>
      </w:pPr>
      <w:r>
        <w:rPr>
          <w:color w:val="FF5A1F"/>
        </w:rPr>
        <w:t>05. Revisión humana</w:t>
      </w:r>
    </w:p>
    <w:p>
      <w:r>
        <w:t>La IA puede equivocarse o inventar información con total seguridad. Por eso:</w:t>
      </w:r>
    </w:p>
    <w:p>
      <w:pPr>
        <w:pStyle w:val="ListBullet"/>
      </w:pPr>
      <w:r>
        <w:t>Todo resultado de IA se revisa antes de usarlo, enviarlo o publicarlo.</w:t>
      </w:r>
    </w:p>
    <w:p>
      <w:pPr>
        <w:pStyle w:val="ListBullet"/>
      </w:pPr>
      <w:r>
        <w:t>Quien usa el resultado es responsable de su contenido, igual que si lo hubiera escrito.</w:t>
      </w:r>
    </w:p>
    <w:p>
      <w:pPr>
        <w:pStyle w:val="ListBullet"/>
      </w:pPr>
      <w:r>
        <w:t>Cifras, nombres, citas y datos legales se verifican siempre en la fuente original.</w:t>
      </w:r>
    </w:p>
    <w:p>
      <w:pPr>
        <w:pStyle w:val="Heading1"/>
      </w:pPr>
      <w:r>
        <w:rPr>
          <w:color w:val="FF5A1F"/>
        </w:rPr>
        <w:t>06. Transparencia</w:t>
      </w:r>
    </w:p>
    <w:p>
      <w:pPr>
        <w:pStyle w:val="ListBullet"/>
      </w:pPr>
      <w:r>
        <w:t>Si un cliente pregunta si un contenido fue hecho con ayuda de IA, se responde con la verdad.</w:t>
      </w:r>
    </w:p>
    <w:p>
      <w:pPr>
        <w:pStyle w:val="ListBullet"/>
      </w:pPr>
      <w:r>
        <w:t>Las decisiones que afectan a personas (contratación, evaluaciones, créditos) no se toman solo con IA: siempre interviene una persona.</w:t>
      </w:r>
    </w:p>
    <w:p>
      <w:pPr>
        <w:pStyle w:val="ListBullet"/>
      </w:pPr>
      <w:r>
        <w:t>Los asistentes de IA que conversan con clientes se identifican como tales.</w:t>
      </w:r>
    </w:p>
    <w:p>
      <w:pPr>
        <w:pStyle w:val="Heading1"/>
      </w:pPr>
      <w:r>
        <w:rPr>
          <w:color w:val="FF5A1F"/>
        </w:rPr>
        <w:t>07. Propiedad y derechos</w:t>
      </w:r>
    </w:p>
    <w:p>
      <w:pPr>
        <w:pStyle w:val="ListBullet"/>
      </w:pPr>
      <w:r>
        <w:t>No se usa IA para copiar o imitar obras, marcas o materiales de terceros.</w:t>
      </w:r>
    </w:p>
    <w:p>
      <w:pPr>
        <w:pStyle w:val="ListBullet"/>
      </w:pPr>
      <w:r>
        <w:t>Las imágenes y textos generados se revisan para evitar contenidos protegidos o inapropiados.</w:t>
      </w:r>
    </w:p>
    <w:p>
      <w:pPr>
        <w:pStyle w:val="ListBullet"/>
      </w:pPr>
      <w:r>
        <w:t>Lo que se produce con IA para la empresa es material de trabajo de la empresa.</w:t>
      </w:r>
    </w:p>
    <w:p>
      <w:pPr>
        <w:pStyle w:val="Heading1"/>
      </w:pPr>
      <w:r>
        <w:rPr>
          <w:color w:val="FF5A1F"/>
        </w:rPr>
        <w:t>08. Herramientas nuevas</w:t>
      </w:r>
    </w:p>
    <w:p>
      <w:r>
        <w:t>Para usar una herramienta de IA que no está en la lista, se solicita a [Cargo responsable], indicando qué herramienta es, para qué se usará y qué tipo de información recibirá. Se evalúa al menos: dónde quedan los datos, si la herramienta los usa para entrenarse, quién tiene acceso y cuánto cuesta.</w:t>
      </w:r>
    </w:p>
    <w:p>
      <w:pPr>
        <w:pStyle w:val="Heading1"/>
      </w:pPr>
      <w:r>
        <w:rPr>
          <w:color w:val="FF5A1F"/>
        </w:rPr>
        <w:t>09. Si algo sale mal</w:t>
      </w:r>
    </w:p>
    <w:p>
      <w:r>
        <w:t>Si se compartió información roja por error, o una herramienta entregó un resultado que causó un problema, se avisa de inmediato a [Cargo responsable] a través de [canal o correo de contacto]. Avisar rápido no tiene sanción: permite actuar a tiempo (borrar el historial, cambiar claves, informar a quien corresponda).</w:t>
      </w:r>
    </w:p>
    <w:p>
      <w:pPr>
        <w:pStyle w:val="Heading1"/>
      </w:pPr>
      <w:r>
        <w:rPr>
          <w:color w:val="FF5A1F"/>
        </w:rPr>
        <w:t>10. Capacitación y vigencia</w:t>
      </w:r>
    </w:p>
    <w:p>
      <w:r>
        <w:t>Todas las personas reciben una inducción sobre esta política. La política rige desde el [fecha] y se revisa cada seis meses, porque las herramientas cambian rápido. Las dudas se consultan con [Cargo responsable].</w:t>
      </w:r>
    </w:p>
    <w:p/>
    <w:p>
      <w:r>
        <w:t>Aprobado por: ______________________________        Fecha: ______________</w:t>
      </w:r>
    </w:p>
    <w:p>
      <w:r>
        <w:rPr>
          <w:color w:val="6B665C"/>
          <w:sz w:val="18"/>
        </w:rPr>
        <w:t>Plantilla de referencia elaborada por hauspartner. No reemplaza la asesoría legal: revísela según la legislación de protección de datos de su país y la realidad de su empresa.</w:t>
      </w:r>
    </w:p>
    <w:sectPr w:rsidR="00FC693F" w:rsidRPr="0006063C" w:rsidSect="00034616">
      <w:pgSz w:w="12240" w:h="15840"/>
      <w:pgMar w:top="1440" w:right="1304" w:bottom="144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